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січня 2018 року</w:t>
        <w:tab/>
        <w:tab/>
        <w:tab/>
        <w:tab/>
        <w:tab/>
        <w:t xml:space="preserve">№ 41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напрямів та</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Порядку використання</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коштів районного бюджету</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13, 17, 39, 41 Закону України “Про місцеві державні адміністрації”, на виконання рішень Пустомитівської районної ради від 22.12.2017 № 412 «Про затвердження цільових програм», від 22.12.2017 №417 «Про районний бюджет Пустомитівського району на 2018 рік», з метою використання коштів районного бюджету, спрямованих на виконання Комплексної програми підтримки та розвитку агропромислового виробництва Пустомитівського району на 2018-2020 роки: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напрями використання коштів, виділених з районного бюджету у 2018 році  на заходи Комплексної програми підтримки та розвитку агропромислового виробництва  Пустомитівського району на 2018-2020 роки, згідно з додатком.</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Порядок використання коштів районного бюджету на виконання заходів Комплексної програми підтримки та розвитку агропромислового виробництва Пустомитівського району на  2018-2020 роки.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Фінансовому управлінню районної державної адміністрації (Л.Максим) здійснювати фінансування видатків згідно затверджених напрямів.</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розпорядженням покласти на  заступника голови районної державної адміністрації Хруня І.С.</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264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29 січня 2018 року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41</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Напрями використання коштів, виділених з районного бюджету у 2018 році на заходи Комплексної програми підтримки та розвитку агропромислового виробництва у Пустомитівському районі на 2018-2020 роки</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тис. грн.</w:t>
      </w:r>
      <w:r w:rsidDel="00000000" w:rsidR="00000000" w:rsidRPr="00000000">
        <w:rPr>
          <w:rtl w:val="0"/>
        </w:rPr>
      </w:r>
    </w:p>
    <w:tbl>
      <w:tblPr>
        <w:tblStyle w:val="Table1"/>
        <w:tblW w:w="9838.0" w:type="dxa"/>
        <w:jc w:val="left"/>
        <w:tblInd w:w="-15.0" w:type="dxa"/>
        <w:tblLayout w:type="fixed"/>
        <w:tblLook w:val="0000"/>
      </w:tblPr>
      <w:tblGrid>
        <w:gridCol w:w="674"/>
        <w:gridCol w:w="2053"/>
        <w:gridCol w:w="4009"/>
        <w:gridCol w:w="1009"/>
        <w:gridCol w:w="1214"/>
        <w:gridCol w:w="679"/>
        <w:gridCol w:w="180"/>
        <w:gridCol w:w="20"/>
        <w:tblGridChange w:id="0">
          <w:tblGrid>
            <w:gridCol w:w="674"/>
            <w:gridCol w:w="2053"/>
            <w:gridCol w:w="4009"/>
            <w:gridCol w:w="1009"/>
            <w:gridCol w:w="1214"/>
            <w:gridCol w:w="679"/>
            <w:gridCol w:w="180"/>
            <w:gridCol w:w="2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Напрями використання коштів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 заходів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Загальний фонд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Спеціальний фонд</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Разом</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Фінансова підтримка суб’єктів господарювання в галузі сільського господарства у вигляді часткової компенсації  вартості придбаних технічних засобів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Зміцнення  матеріально –технічної бази агроформувань шляхом  часткової компенсації сільськогосподарським підприємствам  та організаціям до 30% вартості придбаних нових технічних засобів вітчизняного виробництва та нових і вживаних зарубіжного виробництва.  (КПКВКДБ 2417110 КЕКВ 2610 «Програми в галузі сільського господарства, лісового господарства, рибальства та мисливства»)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w:t>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Фінансова підтримка розвитку сільськогосподарських обслуговуючих кооперативів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сільськогосподарським обслуговуючим кооперативом «ГорбоГори» обладнання для облаштування фермерського магазину шляхом часткової компенсації, до 100%вартості придбаного обладнання (КПКВКДБ 2417110 КЕКВ 2610 «Програми в галузі сільського господарства, лісового господарства, рибальства та мисливства»)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w:t>
            </w:r>
          </w:p>
        </w:tc>
      </w:tr>
      <w:tr>
        <w:trPr>
          <w:trHeight w:val="14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Фінансова підтримка сільськогосподарських підприємств за приріст поголів’я корів молочного напряму продуктивності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Зростання чисельності поголів’я корів молочного напряму продуктивності в сільськогосподарських підприємствах, збільшення виробництва  молока (КПКВКДБ 2417110 КЕКВ 2610 «Програми в галузі сільського господарства, лісового господарства, рибальства та мисливства»)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100</w:t>
            </w:r>
          </w:p>
        </w:tc>
      </w:tr>
      <w:t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Усього на Комплексну програму на 2018 рік</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500</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500</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 </w:t>
        <w:tab/>
        <w:tab/>
        <w:tab/>
        <w:tab/>
        <w:tab/>
        <w:tab/>
        <w:t xml:space="preserve">Ю.В.ЧЕТИРБУК</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29 січня 2018 року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5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ПОРЯДОК</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використання коштів районного бюджету на виконання заходів Комплексної програми підтримки та розвитку агропромислового виробництва Пустомитівського  району на 2018-2020 роки.</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Цей Порядок визначає механізм використання коштів, виділених з районного бюджету Пустомитівського району на виконання Комплексної програми підтримки та розвитку агропромислового виробництва Пустомитівського району на 2018-2020 роки (надалі – Комплексна програма), затвердженої рішенням Пустомитівської районної ради від   22.12.2017 № 412 «Про затвердження цільових програм».</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Кошти районного бюджету надаються суб’єктам господарювання в галузі агропромислового виробництва (сільськогосподарським підприємствам, сільськогосподарським обслуговуючим кооперативам, організаціям) на конкурсній основі за такими напрямами: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фінансова підтримка суб’єктів господарювання в галузі сільського господарства шляхом часткової компенсації  вартості придбаних технічних засобів;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фінансова підтримка сільськогосподарських підприємств за приріст поголів’я корів молочного напряму продуктивності;</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без конкурсу за напрямом:</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426"/>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фінансова підтримка розвитку сільськогосподарських обслуговуючих кооперативів.</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Відділ агропромислового розвитку районної державної адміністрації (далі – відділ агропромислового розвитку) є головним розпорядником коштів, а також виконавцем заходів щодо надання фінансової підтримки  у вигляді   часткової компенсації  вартості придбаних технічних засобів, фінансової підтримки сільськогосподарських підприємств за приріст поголів’я корів молочного напряму продуктивності та фінансової підтримки розвитку сільськогосподарських обслуговуючих кооперативів.</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Фінансова підтримка не надається суб’єктам господарювання, які: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426"/>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визнані банкрутами або стосовно яких порушено справу про банкрутство;</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перебувають у стадії припинення юридичної особи;</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подали завідомо недостовірні відомості та документи під час звернення за наданням фінансової підтримки.</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У разі встановлення контролюючими органами факту незаконного або нецільового використання коштів районного бюджету, кошти повертаються до районного бюджету.</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Для визначення учасників Комплексної програми, які мають право на одержання фінансової підтримки, відділом створюється Конкурсна комісія. Конкурсну комісію очолює начальник відділу агропромислового розвитку. До складу Конкурсної комісії включаються спеціалісти відділу агропромислового розвитку, спеціаліст фінансового управління (за згодою) , голова постійної комісії з питань АПК районної ради (за згодою), спеціаліст районного відділу статистики (за згодою), голова асоціації фермерів та землевласників району(за згодою).</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Склад Конкурсної комісії  та Положення про порядок роботи Конкурсної комісії затверджується наказом начальника відділу агропромислового розвитку.</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Комісія розпочинає приймати заявки на участь у конкурсі та документи , що додаються до них, з дня оприлюднення оголошення на сайті Пустомитівської районної державної адміністрації, а закінчує – 30 листопада поточного року. Останнє засідання Конкурсної комісії проводиться до 10 грудня поточного року.</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В оголошенні  про проведення конкурсу наводиться така інформація:</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назва юридичної особи та юридична адреса установи, куди подаються документи;</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терміни подачі документів до Конкурсної комісії;</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обсяги фінансової підтримки за напрямами на поточний рік;</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дата та номер розпорядження районної державної адміністрації, яким затверджено Порядок використання коштів районного бюджету на виконання заходів Комплексної програми підтримки та розвитку агропромислового виробництва Пустомитівського  району на 2018-2020 роки.</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 Засідання Конкурсної комісії скликаються головою Конкурсної комісії при умові, що планом асигнувань передбачено кошти в відповідному місяці та на розгляд Конкурсної комісії подані:</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284"/>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не менше ніж дві заявки (крім останнього засідання Конкурсної комісії)  за напрямами  підтримки суб’єктів господарювання в галузі сільського господарства у вигляді часткової компенсації  вартості придбаних технічних засобів та  фінансової підтримки сільськогосподарських підприємств за приріст поголів’я корів молочного напряму продуктивності відповідно до плану асигнувань;</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заявка від сільськогосподарського обслуговуючого кооперативу «ГорбоГори» за напрямом - підтримка розвитку сільськогосподарських обслуговуючих кооперативів.</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1.11. Заявки Конкурсна комісія розглядає подані документи на участь у конкурсі в порядку черговості їх реєстрації за відповідним напрямом фінансової підтримки окремо.</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1.12. Подані Конкурсній комісії документи реєструються у журналах реєстрації заявок на участь у конкурсі окремо за кожним напрямом  підтримки.</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1.13. Документи подані не в повному обсязі, не реєструються і повертаються заявникам. Доопрацьований пакет документів може подаватися повторно.</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1.14. Рішення про надання фінансової підтримки приймається Конкурсною комісією на її засіданні відкритим голосуванням, простою більшістю голосів. Відповідне рішення Конкурсної комісії оформляється протоколом, який підписують усі члени комісії. Член комісії, який не згоден з її рішенням, підписує протокол з окремою думкою, письмовий виклад якої є невід’ємною частиною протоколу.</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1.15. У разі прийняття Конкурсною комісією негативного рішення щодо  фінансової підтримки, суб’єкт господарювання про прийняте рішення повідомляється в письмовій формі  в п’ятиденний термін.</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pos="1214"/>
          <w:tab w:val="left" w:pos="59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1.16. Питання які не врегульовані цим  Порядком , вирішуються відповідно до діючого законодавства України.</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 Положення про надання фінансової підтримки суб’єктам господарювання в галузі сільського господарства шляхом часткової компенсації  вартості придбаних технічних засобів</w:t>
      </w: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Кошти районного  бюджету  на фінансову підтримку суб’єктам господарювання в галузі сільського господарства шляхом часткової компенсації  вартості придбаних технічних засобів  надаються  суб’єктам господарювання за КПК ВКДБ 2417110, КЕКВ 2610 « Програми в галузі сільського господарства, лісового господарства, рибальства та мисливства».</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1090"/>
        </w:tabs>
        <w:spacing w:after="0" w:before="5" w:line="276" w:lineRule="auto"/>
        <w:ind w:left="0" w:right="2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Заявку на отримання бюджетних коштів мають право подавати Конкурсній комісії суб’єкти господарювання в галузі агропромислового виробництва (сільськогосподарські  підприємств  та організації) усіх форм  власності. </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1090"/>
        </w:tabs>
        <w:spacing w:after="0" w:before="5" w:line="276" w:lineRule="auto"/>
        <w:ind w:left="0" w:right="2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Сільськогосподарським підприємствам та організаціям проводиться часткова компенсація до 30% вартості придбаних ними технічних засобів для агропромислового комплексу. Сума часткової компенсації розраховується виходячи з суми вартості цих засобів без врахування суми податку на додану вартість. </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1090"/>
        </w:tabs>
        <w:spacing w:after="0" w:before="5" w:line="276" w:lineRule="auto"/>
        <w:ind w:left="0" w:right="2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Часткова компенсація надається за придбані в період з 1 листопада 2017 року по жовтень місяць включно 2018 року нові  технічні засоби вітчизняного виробництва та нові і вживані зарубіжного виробництва для агропромислового комплексу  . </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ffffff" w:val="clear"/>
        <w:tabs>
          <w:tab w:val="left" w:pos="0"/>
        </w:tabs>
        <w:spacing w:after="0" w:before="5" w:line="240" w:lineRule="auto"/>
        <w:ind w:left="0" w:right="1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Суб’єкти господарювання для одержання компенсації  подають   Конкурсній комісії  до 1 листопада 2018 року  перелік  таких документів:</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284"/>
        </w:tabs>
        <w:spacing w:after="0" w:before="5" w:line="240" w:lineRule="auto"/>
        <w:ind w:left="0" w:right="1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заявка на одержання компенсації;</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28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копії фінансової звітності за останній рік (крім новостворених), а саме «Баланс»(Звіт про фінансовий стан) форма №1, «Звіт про фінансові результати (Звіт про сукупний дохід)» форма №2 та/або «Фінансовий звіт малого підприємництва» (форма  №1, № 2-м);</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ffffff"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копія акту   приймання-передачі техніки, виданий підприємством  -  постачальником або виробником; </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ffffff"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копія  митної декларації  або  електронна  митна декларація для машин, що ввезені на митну територію України (при наявності);</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28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договір купівлі-продажу;</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28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копія   документу  про включення  до  Єдиного   державного   реєстру підприємств та організацій України; </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28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копія накладної на придбану техніку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ffffff" w:val="clear"/>
        <w:tabs>
          <w:tab w:val="left"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копія платіжного поручення про факт повної оплати придбаної техніки;</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1090"/>
        </w:tabs>
        <w:spacing w:after="0" w:before="5" w:line="240" w:lineRule="auto"/>
        <w:ind w:left="0" w:right="2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копія свідоцтва про державну реєстрацію придбаної техніки  (якщо  техніка підлягає обов’язковій державній реєстрації відповідно до</w:t>
      </w: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постанови кабінету міністрів України № 694 від 08 липня 2009 року «Про затвердження Порядку відомчої реєстрації та зняття з обліку тракторів, самохідних шасі, самохідних сільськогосподарських, дорожньо-будівельних і меліоративних машин, сільськогосподарської техніки, інших машин»);</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ffffff" w:val="clear"/>
        <w:tabs>
          <w:tab w:val="left" w:pos="1090"/>
        </w:tabs>
        <w:spacing w:after="0" w:before="5" w:line="240" w:lineRule="auto"/>
        <w:ind w:left="0" w:right="2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реєстр договорів оренди земельних часток(паїв) із зазначенням назви сільської ради, кадастрових  номерів ділянок, площі орендованих паїв, року укладення та терміну оренди;</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письмове зобов’язання про повернення до бюджету в місячний термін одержані бюджетні кошти, в разі встановлення контролюючими органами факту їх незаконного одержання або нецільового використання.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Конкурсна комісія відповідно до поданих документів приймає рішення про надання чи ненадання часткової компенсації вартості придбаних технічних засобів, складає реєстр одержувачів фінансової підтримки і в пропорційному відношенні від вартості придбаних технічних засобів визначає відсоток компенсації.</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76" w:lineRule="auto"/>
        <w:ind w:left="1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Відділ агропромислового розвитку на підставі рішення Конкурсної комісії перераховує кошти на розрахункові рахунки сільськогосподарських підприємств та організацій   відкритих в установах банків.</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142"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142"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ІІІ. Положення про надання фінансової підтримки  на розвиток сільськогосподарських обслуговуючих кооперативів</w:t>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3.1.Кошти районного бюджету на фінансову підтримку розвитку сільськогосподарських обслуговуючих кооперативів надаються  сільськогосподарському обслуговуючому кооперативу «ГорбоГори» за КПК ВКДБ 2417110, КЕКВ 2610 « Програми в галузі сільського господарства, лісового господарства, рибальства та мисливства».</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ffffff" w:val="clear"/>
        <w:tabs>
          <w:tab w:val="left" w:pos="118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3.2.Кошти фінансової підтримки надаються сільськогосподарському обслуговуючому кооперативу «ГорбоГори» у вигляді часткової компенсації до 100% вартості за  придбане обладнання для облаштування фермерського магазину. Сума часткової компенсації розраховується з суми придбаного обладнання без врахування суми податку на додану вартість.</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ffffff" w:val="clear"/>
        <w:tabs>
          <w:tab w:val="left" w:pos="118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Сільськогосподарський обслуговуючий  кооператив «ГорбоГори» подає Конкурсній комісії наступні документи:</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заявку на одержання  фінансової підтримки;</w:t>
      </w:r>
    </w:p>
    <w:p w:rsidR="00000000" w:rsidDel="00000000" w:rsidP="00000000" w:rsidRDefault="00000000" w:rsidRPr="00000000" w14:paraId="000000B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682"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копію статуту кооперативу;</w:t>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682"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довідку про банківські реквізити кооперативу;</w:t>
      </w:r>
    </w:p>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682"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копія   документу про включення до   Єдиного   державного   реєстру підприємств та організацій України;</w:t>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682"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копія договору купівлі – продажу;</w:t>
      </w:r>
    </w:p>
    <w:p w:rsidR="00000000" w:rsidDel="00000000" w:rsidP="00000000" w:rsidRDefault="00000000" w:rsidRPr="00000000" w14:paraId="000000B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682"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копії платіжних поручень про факт повної оплати придбаного обладнання;</w:t>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682"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копії накладних на придбане обладнання;</w:t>
      </w:r>
    </w:p>
    <w:p w:rsidR="00000000" w:rsidDel="00000000" w:rsidP="00000000" w:rsidRDefault="00000000" w:rsidRPr="00000000" w14:paraId="000000C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682"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письмове зобов’язання про  повернення до бюджету в місячний термін одержаних бюджетних коштів в разі встановлення контролюючими органами факту їх незаконного одержання або нецільового використання. </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284"/>
          <w:tab w:val="left"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Конкурсна комісія відповідно до поданих документів приймає рішення щодо надання фінансової підтримки сільськогосподарського обслуговуючого кооперативу  «ГорбоГори» у вигляді часткової компенсації вартості за придбане обладнання для облаштування фермерського магазину та визначає розмір компенсації.</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Відділ агропромислового розвитку на підставі рішення Конкурсної комісії перераховує кошти на  розрахунковий рахунок  кооперативу відкритого в установі банку .</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142"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142"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ІY. Положення про надання фінансової підтримки  сільськогосподарським підприємствам за приріст поголів'я корів молочного напряму продуктивності</w:t>
      </w: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Кошти районного  бюджету для фінансової підтримки сільськогосподарських підприємств за приріст поголів’я корів молочного напряму продуктивності надаються  сільськогосподарським підприємствам за КПК ВКДБ 2417110, КЕКВ 2610 « Програми в галузі сільського господарства, лісового господарства, рибальства та мисливства. </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1090"/>
        </w:tabs>
        <w:spacing w:after="0" w:before="5" w:line="276" w:lineRule="auto"/>
        <w:ind w:left="0" w:right="2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Заявку на отримання бюджетних коштів мають право подавати Конкурсній комісії сільськогосподарські  підприємства  усіх форм  власності, які на 1 січня 2018 року утримували поголів’я корів молочного напряму продуктивності.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Фінансова підтримка за приріст поголів’я корів   надається  у розмірі до 10000 гривень за кожну корову молочного напряму продуктивності, на яку збільшено основне стадо станом на 1 жовтня 2018 року порівняно з наявним поголів’ям корів на 1 січня 2018 року. </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Для отримання фінансової підтримки сільськогосподарські підприємства  до 15 жовтня 2018 року подають на розгляд Конкурсної комісії наступні документи;</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заявку про участь у виконанні Програми;</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ffffff" w:val="clear"/>
        <w:tabs>
          <w:tab w:val="left" w:pos="0"/>
          <w:tab w:val="left" w:pos="28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копії фінансової звітності за останній рік (крім новостворених), а саме «Баланс»(Звіт про фінансовий стан) форма №1, «Звіт про фінансові результати (Звіт про сукупний дохід)» форма №2 та/або «Фінансовий звіт малого підприємництва» (форма  №1, № 2-м);</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ffffff" w:val="clear"/>
        <w:tabs>
          <w:tab w:val="left" w:pos="284"/>
        </w:tabs>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копії звітів про стан тваринництва (Ф-24)стосовно наявного поголів’я корів молочного напряму продуктивності станом на 1 січня 2018 року та на 1 жовтня 2018 року засвідчені органом державної статистики;</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копія   документу  про включення  до   Єдиного   державного   реєстру підприємств та організацій України;</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ffffff" w:val="clear"/>
        <w:tabs>
          <w:tab w:val="left" w:pos="1090"/>
        </w:tabs>
        <w:spacing w:after="0" w:before="5" w:line="240" w:lineRule="auto"/>
        <w:ind w:left="0" w:right="2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реєстр договорів оренди земельних часток(паїв) із зазначенням назви сільської ради, кадастрових  номерів ділянок, площі орендованих паїв, року укладення та терміну оренди;</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письмове зобов’язання про повернення коштів до районного бюджету  в разі зменшення поголів’я корів молочного напряму продуктивності станом на 1 січня 2019 року до поголів’я  корів на 1 жовтня 2018 року.</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 Комісія  на підставі отриманих документів   складає  реєстр поголів’я  корів  молочного напряму продуктивності в розрізі господарств на яке нараховується фінансова підтримка та приймає рішення про виділення коштів. Кошти розподіляються пропорційно до кількості поголів’я корів на яке надається фінансова підтримка.</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 Відділ агропромислового розвитку на підставі рішення Конкурсної комісії перераховує кошти на  розрахункові рахунки  сільськогосподарських підприємств відкритих в установах банків.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142"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5954"/>
        </w:tabs>
        <w:spacing w:after="0" w:before="0" w:line="240" w:lineRule="auto"/>
        <w:ind w:left="142"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031"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bullet"/>
      <w:lvlText w:val="-"/>
      <w:lvlJc w:val="left"/>
      <w:pPr>
        <w:ind w:left="682" w:hanging="360"/>
      </w:pPr>
      <w:rPr>
        <w:rFonts w:ascii="Calibri" w:cs="Calibri" w:eastAsia="Calibri" w:hAnsi="Calibri"/>
        <w:vertAlign w:val="baseline"/>
      </w:rPr>
    </w:lvl>
    <w:lvl w:ilvl="1">
      <w:start w:val="1"/>
      <w:numFmt w:val="bullet"/>
      <w:lvlText w:val="o"/>
      <w:lvlJc w:val="left"/>
      <w:pPr>
        <w:ind w:left="1402" w:hanging="360"/>
      </w:pPr>
      <w:rPr>
        <w:rFonts w:ascii="Courier New" w:cs="Courier New" w:eastAsia="Courier New" w:hAnsi="Courier New"/>
        <w:vertAlign w:val="baseline"/>
      </w:rPr>
    </w:lvl>
    <w:lvl w:ilvl="2">
      <w:start w:val="1"/>
      <w:numFmt w:val="bullet"/>
      <w:lvlText w:val="▪"/>
      <w:lvlJc w:val="left"/>
      <w:pPr>
        <w:ind w:left="2122" w:hanging="360"/>
      </w:pPr>
      <w:rPr>
        <w:rFonts w:ascii="Noto Sans Symbols" w:cs="Noto Sans Symbols" w:eastAsia="Noto Sans Symbols" w:hAnsi="Noto Sans Symbols"/>
        <w:vertAlign w:val="baseline"/>
      </w:rPr>
    </w:lvl>
    <w:lvl w:ilvl="3">
      <w:start w:val="1"/>
      <w:numFmt w:val="bullet"/>
      <w:lvlText w:val="●"/>
      <w:lvlJc w:val="left"/>
      <w:pPr>
        <w:ind w:left="2842" w:hanging="360"/>
      </w:pPr>
      <w:rPr>
        <w:rFonts w:ascii="Noto Sans Symbols" w:cs="Noto Sans Symbols" w:eastAsia="Noto Sans Symbols" w:hAnsi="Noto Sans Symbols"/>
        <w:vertAlign w:val="baseline"/>
      </w:rPr>
    </w:lvl>
    <w:lvl w:ilvl="4">
      <w:start w:val="1"/>
      <w:numFmt w:val="bullet"/>
      <w:lvlText w:val="o"/>
      <w:lvlJc w:val="left"/>
      <w:pPr>
        <w:ind w:left="3562" w:hanging="360"/>
      </w:pPr>
      <w:rPr>
        <w:rFonts w:ascii="Courier New" w:cs="Courier New" w:eastAsia="Courier New" w:hAnsi="Courier New"/>
        <w:vertAlign w:val="baseline"/>
      </w:rPr>
    </w:lvl>
    <w:lvl w:ilvl="5">
      <w:start w:val="1"/>
      <w:numFmt w:val="bullet"/>
      <w:lvlText w:val="▪"/>
      <w:lvlJc w:val="left"/>
      <w:pPr>
        <w:ind w:left="4282" w:hanging="360"/>
      </w:pPr>
      <w:rPr>
        <w:rFonts w:ascii="Noto Sans Symbols" w:cs="Noto Sans Symbols" w:eastAsia="Noto Sans Symbols" w:hAnsi="Noto Sans Symbols"/>
        <w:vertAlign w:val="baseline"/>
      </w:rPr>
    </w:lvl>
    <w:lvl w:ilvl="6">
      <w:start w:val="1"/>
      <w:numFmt w:val="bullet"/>
      <w:lvlText w:val="●"/>
      <w:lvlJc w:val="left"/>
      <w:pPr>
        <w:ind w:left="5002" w:hanging="360"/>
      </w:pPr>
      <w:rPr>
        <w:rFonts w:ascii="Noto Sans Symbols" w:cs="Noto Sans Symbols" w:eastAsia="Noto Sans Symbols" w:hAnsi="Noto Sans Symbols"/>
        <w:vertAlign w:val="baseline"/>
      </w:rPr>
    </w:lvl>
    <w:lvl w:ilvl="7">
      <w:start w:val="1"/>
      <w:numFmt w:val="bullet"/>
      <w:lvlText w:val="o"/>
      <w:lvlJc w:val="left"/>
      <w:pPr>
        <w:ind w:left="5722" w:hanging="360"/>
      </w:pPr>
      <w:rPr>
        <w:rFonts w:ascii="Courier New" w:cs="Courier New" w:eastAsia="Courier New" w:hAnsi="Courier New"/>
        <w:vertAlign w:val="baseline"/>
      </w:rPr>
    </w:lvl>
    <w:lvl w:ilvl="8">
      <w:start w:val="1"/>
      <w:numFmt w:val="bullet"/>
      <w:lvlText w:val="▪"/>
      <w:lvlJc w:val="left"/>
      <w:pPr>
        <w:ind w:left="6442"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